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A4674">
      <w:pPr>
        <w:snapToGrid/>
        <w:spacing w:before="0" w:after="0" w:line="312" w:lineRule="auto"/>
        <w:ind w:left="0" w:right="0"/>
        <w:jc w:val="center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8"/>
          <w:u w:val="none"/>
        </w:rPr>
        <w:t>TCL 实业2025届全球校招简章</w:t>
      </w:r>
    </w:p>
    <w:p w14:paraId="5E29873B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【公司简介】</w:t>
      </w:r>
    </w:p>
    <w:p w14:paraId="36C84D6E">
      <w:pPr>
        <w:snapToGrid/>
        <w:spacing w:before="0" w:after="0" w:line="360" w:lineRule="auto"/>
        <w:ind w:left="0" w:right="0" w:firstLine="420" w:firstLineChars="200"/>
        <w:jc w:val="left"/>
      </w:pPr>
      <w:r>
        <w:rPr>
          <w:rFonts w:ascii="微软雅黑" w:hAnsi="微软雅黑" w:eastAsia="微软雅黑" w:cs="微软雅黑"/>
          <w:i w:val="0"/>
          <w:strike w:val="0"/>
          <w:color w:val="000000"/>
          <w:sz w:val="21"/>
          <w:u w:val="none"/>
        </w:rPr>
        <w:t>TCL是中国企业全球化的先行者和领导者。1999年，TCL进军越南市场，迈出中国企业“走出去”的重要一步。TCL实业现有员工6万余名，遍布亚、美、欧及大洋洲，销售机构遍布80多个国家和地区，业务遍及160多个国家和地区，旗下品牌涵盖TCL、XESS、雷鸟、乐华、FALCON、HOMA、TONLY等。</w:t>
      </w:r>
    </w:p>
    <w:p w14:paraId="3279BE24">
      <w:pPr>
        <w:snapToGrid/>
        <w:spacing w:before="0" w:after="0" w:line="360" w:lineRule="auto"/>
        <w:ind w:left="0" w:right="0" w:firstLine="420" w:firstLineChars="200"/>
        <w:jc w:val="left"/>
      </w:pPr>
      <w:r>
        <w:rPr>
          <w:rFonts w:ascii="微软雅黑" w:hAnsi="微软雅黑" w:eastAsia="微软雅黑" w:cs="微软雅黑"/>
          <w:i w:val="0"/>
          <w:strike w:val="0"/>
          <w:color w:val="000000"/>
          <w:sz w:val="21"/>
          <w:u w:val="none"/>
        </w:rPr>
        <w:t>公司在全球多个国家与地区共设立20个智能制造基地，涵盖电视、手机、空调、冰箱、洗衣机等多个品类。其中，TCL电视全球年产能超3,000万台，空冰洗全球年产能超5,400万台，产业链形成上下游协同，构建了强大的垂直整合供应链优势。</w:t>
      </w:r>
    </w:p>
    <w:p w14:paraId="1B00F126">
      <w:pPr>
        <w:snapToGrid/>
        <w:spacing w:before="0" w:after="0" w:line="360" w:lineRule="auto"/>
        <w:ind w:left="0" w:right="0" w:firstLine="420" w:firstLineChars="200"/>
        <w:jc w:val="left"/>
      </w:pPr>
      <w:r>
        <w:rPr>
          <w:rFonts w:ascii="微软雅黑" w:hAnsi="微软雅黑" w:eastAsia="微软雅黑" w:cs="微软雅黑"/>
          <w:i w:val="0"/>
          <w:strike w:val="0"/>
          <w:color w:val="000000"/>
          <w:sz w:val="21"/>
          <w:u w:val="none"/>
        </w:rPr>
        <w:t>近年来，TCL实业保持了稳健的业绩增长。2023年，TCL实业实现营业总收入1,203.2亿元，同比增长13.4%；毛利额达243.4亿元，同比增长19.8%。</w:t>
      </w:r>
      <w:r>
        <w:rPr>
          <w:rFonts w:ascii="微软雅黑" w:hAnsi="微软雅黑" w:eastAsia="微软雅黑" w:cs="微软雅黑"/>
          <w:i w:val="0"/>
          <w:strike w:val="0"/>
          <w:color w:val="333333"/>
          <w:sz w:val="22"/>
          <w:u w:val="none"/>
        </w:rPr>
        <w:t> </w:t>
      </w:r>
    </w:p>
    <w:p w14:paraId="19B16B2E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【招聘对象】</w:t>
      </w:r>
    </w:p>
    <w:p w14:paraId="7C498BB9">
      <w:pPr>
        <w:snapToGrid w:val="0"/>
        <w:spacing w:before="0" w:after="0" w:line="360" w:lineRule="auto"/>
        <w:ind w:left="0" w:right="0" w:firstLine="400" w:firstLineChars="200"/>
      </w:pP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海内外2025届本科、硕士、博士应届毕业生 （毕业时间: 2024年9月至2025年12月）</w:t>
      </w:r>
    </w:p>
    <w:p w14:paraId="5574A8F3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【岗位类型】</w:t>
      </w:r>
    </w:p>
    <w:p w14:paraId="2898D737">
      <w:pPr>
        <w:snapToGrid w:val="0"/>
        <w:spacing w:before="0" w:after="0" w:line="360" w:lineRule="auto"/>
        <w:ind w:left="0" w:right="0"/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</w:rPr>
      </w:pP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技术研发类、产品设计类、市场营销类、智能制造类、供应链类、财务金融类、综合管理类</w:t>
      </w:r>
    </w:p>
    <w:p w14:paraId="671A4DE8">
      <w:pPr>
        <w:snapToGrid w:val="0"/>
        <w:spacing w:before="0" w:after="0" w:line="360" w:lineRule="auto"/>
        <w:ind w:left="0" w:right="0"/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</w:rPr>
      </w:pP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</w:rPr>
        <w:t>七大招聘岗位类别，超多招聘岗位，总有一个适合你！</w:t>
      </w:r>
    </w:p>
    <w:p w14:paraId="095FC4DA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【招聘流程】</w:t>
      </w:r>
    </w:p>
    <w:p w14:paraId="05BD79FB">
      <w:pPr>
        <w:snapToGrid w:val="0"/>
        <w:spacing w:before="0" w:after="0" w:line="360" w:lineRule="auto"/>
        <w:ind w:left="0" w:right="0"/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</w:pP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网申→通用测评→笔试→初试→人才测评→终试→Offer</w:t>
      </w:r>
    </w:p>
    <w:p w14:paraId="56054378">
      <w:pPr>
        <w:snapToGrid w:val="0"/>
        <w:spacing w:before="0" w:after="0" w:line="360" w:lineRule="auto"/>
        <w:ind w:left="0" w:right="0"/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</w:rPr>
        <w:t>【工作地点】</w:t>
      </w:r>
    </w:p>
    <w:p w14:paraId="7E8190BF">
      <w:pPr>
        <w:snapToGrid w:val="0"/>
        <w:spacing w:before="0" w:after="0" w:line="360" w:lineRule="auto"/>
        <w:ind w:left="0" w:right="0"/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</w:pP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深圳、惠州、中山、上海、武汉、西安等全国各地及海外城市</w:t>
      </w:r>
    </w:p>
    <w:p w14:paraId="1B496DE1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 </w:t>
      </w:r>
    </w:p>
    <w:p w14:paraId="6D74B745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【网申方式】</w:t>
      </w:r>
    </w:p>
    <w:p w14:paraId="0EA6051F">
      <w:pPr>
        <w:numPr>
          <w:numId w:val="0"/>
        </w:numPr>
        <w:snapToGrid/>
        <w:spacing w:before="60" w:after="60" w:line="312" w:lineRule="auto"/>
        <w:ind w:leftChars="200" w:right="0" w:rightChars="0"/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</w:pP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PC端：欢迎登陆</w:t>
      </w: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zhaopin.tcl.com/industries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进行简历投递</w:t>
      </w:r>
    </w:p>
    <w:p w14:paraId="5E592B36">
      <w:pPr>
        <w:numPr>
          <w:numId w:val="0"/>
        </w:numPr>
        <w:snapToGrid/>
        <w:spacing w:before="60" w:after="60" w:line="312" w:lineRule="auto"/>
        <w:ind w:leftChars="200" w:right="0" w:rightChars="0"/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  <w:t>投递时填写内推码【</w:t>
      </w: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FF0000"/>
          <w:sz w:val="20"/>
          <w:u w:val="none"/>
          <w:lang w:val="en-US" w:eastAsia="zh-CN"/>
        </w:rPr>
        <w:t>fejqmi</w:t>
      </w: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  <w:t>】，简历优先筛选！</w:t>
      </w:r>
    </w:p>
    <w:p w14:paraId="5ECC1E6B">
      <w:pPr>
        <w:numPr>
          <w:numId w:val="0"/>
        </w:numPr>
        <w:snapToGrid/>
        <w:spacing w:before="60" w:after="60" w:line="312" w:lineRule="auto"/>
        <w:ind w:leftChars="200" w:right="0" w:rightChars="0"/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  <w:lang w:val="en-US" w:eastAsia="zh-CN"/>
        </w:rPr>
      </w:pPr>
    </w:p>
    <w:p w14:paraId="2E2046FA">
      <w:pPr>
        <w:numPr>
          <w:numId w:val="0"/>
        </w:numPr>
        <w:snapToGrid/>
        <w:spacing w:before="60" w:after="60" w:line="312" w:lineRule="auto"/>
        <w:ind w:right="0" w:rightChars="0"/>
        <w:rPr>
          <w:rFonts w:hint="default" w:ascii="微软雅黑" w:hAnsi="微软雅黑" w:eastAsia="微软雅黑" w:cs="微软雅黑"/>
          <w:i w:val="0"/>
          <w:strike w:val="0"/>
          <w:color w:val="000000"/>
          <w:sz w:val="20"/>
          <w:u w:val="none"/>
          <w:lang w:val="en-US" w:eastAsia="zh-CN"/>
        </w:rPr>
      </w:pPr>
    </w:p>
    <w:p w14:paraId="5760876C">
      <w:pPr>
        <w:snapToGrid w:val="0"/>
        <w:spacing w:before="0" w:after="0" w:line="360" w:lineRule="auto"/>
        <w:ind w:left="0" w:right="0" w:firstLine="400" w:firstLineChars="200"/>
        <w:jc w:val="both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  <w:lang w:val="en-US" w:eastAsia="zh-CN"/>
        </w:rPr>
        <w:t>2、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移动端：</w:t>
      </w: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  <w:lang w:val="en-US" w:eastAsia="zh-CN"/>
        </w:rPr>
        <w:t>扫描下方</w:t>
      </w: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  <w:t>内推二维码</w:t>
      </w:r>
      <w:r>
        <w:rPr>
          <w:rFonts w:hint="eastAsia" w:ascii="微软雅黑" w:hAnsi="微软雅黑" w:eastAsia="微软雅黑" w:cs="微软雅黑"/>
          <w:i w:val="0"/>
          <w:strike w:val="0"/>
          <w:color w:val="000000"/>
          <w:sz w:val="20"/>
          <w:u w:val="none"/>
          <w:lang w:val="en-US" w:eastAsia="zh-CN"/>
        </w:rPr>
        <w:t>直接投递</w:t>
      </w:r>
    </w:p>
    <w:p w14:paraId="6E3D0984">
      <w:pPr>
        <w:snapToGrid w:val="0"/>
        <w:spacing w:before="0" w:after="0" w:line="360" w:lineRule="auto"/>
        <w:ind w:left="0" w:right="0" w:firstLine="440" w:firstLineChars="200"/>
        <w:jc w:val="both"/>
        <w:rPr>
          <w:rFonts w:hint="eastAsia" w:eastAsia="minorEastAsia"/>
          <w:lang w:eastAsia="zh-CN"/>
        </w:rPr>
      </w:pPr>
      <w:r>
        <w:rPr>
          <w:rFonts w:hint="eastAsia" w:eastAsia="minorEastAsia"/>
          <w:lang w:eastAsia="zh-CN"/>
        </w:rPr>
        <w:drawing>
          <wp:inline distT="0" distB="0" distL="114300" distR="114300">
            <wp:extent cx="3769360" cy="2362835"/>
            <wp:effectExtent l="12700" t="12700" r="12700" b="17145"/>
            <wp:docPr id="1" name="图片 1" descr="509c62b42a9c33e5637e46772821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9c62b42a9c33e5637e46772821cda"/>
                    <pic:cNvPicPr>
                      <a:picLocks noChangeAspect="1"/>
                    </pic:cNvPicPr>
                  </pic:nvPicPr>
                  <pic:blipFill>
                    <a:blip r:embed="rId6"/>
                    <a:srcRect t="47555" b="20031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36283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7B272E8">
      <w:pPr>
        <w:snapToGrid w:val="0"/>
        <w:spacing w:before="0" w:after="0" w:line="360" w:lineRule="auto"/>
        <w:ind w:left="0" w:right="0" w:firstLine="440" w:firstLineChars="200"/>
        <w:jc w:val="both"/>
        <w:rPr>
          <w:rFonts w:hint="eastAsia" w:eastAsia="minorEastAsia"/>
          <w:lang w:eastAsia="zh-CN"/>
        </w:rPr>
      </w:pPr>
    </w:p>
    <w:p w14:paraId="751A9BD4">
      <w:pPr>
        <w:snapToGrid w:val="0"/>
        <w:spacing w:before="0" w:after="0" w:line="360" w:lineRule="auto"/>
        <w:ind w:left="0" w:right="0" w:firstLine="400" w:firstLineChars="200"/>
        <w:jc w:val="both"/>
        <w:rPr>
          <w:rFonts w:hint="default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  <w:t>3、TCL实业2025届校招交流群：https://docs.qq.com/doc/DRkNnYkNjYk9EZHVP</w:t>
      </w:r>
    </w:p>
    <w:p w14:paraId="180DB164">
      <w:pPr>
        <w:snapToGrid w:val="0"/>
        <w:spacing w:before="0" w:after="0" w:line="360" w:lineRule="auto"/>
        <w:ind w:left="0" w:right="0" w:firstLine="400" w:firstLineChars="200"/>
        <w:jc w:val="both"/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  <w:t>欢迎同学们进群交流，获取最新招聘信息！</w:t>
      </w:r>
    </w:p>
    <w:p w14:paraId="46C6FA2B">
      <w:pPr>
        <w:snapToGrid w:val="0"/>
        <w:spacing w:before="0" w:after="0" w:line="360" w:lineRule="auto"/>
        <w:ind w:left="0" w:right="0" w:firstLine="400" w:firstLineChars="200"/>
        <w:jc w:val="both"/>
        <w:rPr>
          <w:rFonts w:hint="eastAsia" w:ascii="微软雅黑" w:hAnsi="微软雅黑" w:eastAsia="微软雅黑" w:cs="微软雅黑"/>
          <w:b/>
          <w:bCs/>
          <w:i w:val="0"/>
          <w:strike w:val="0"/>
          <w:color w:val="000000"/>
          <w:sz w:val="20"/>
          <w:u w:val="none"/>
          <w:lang w:val="en-US" w:eastAsia="zh-CN"/>
        </w:rPr>
      </w:pPr>
    </w:p>
    <w:p w14:paraId="10D54BA9">
      <w:pPr>
        <w:snapToGrid w:val="0"/>
        <w:spacing w:before="0" w:after="0" w:line="360" w:lineRule="auto"/>
        <w:ind w:left="0" w:right="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【Why TCL】</w:t>
      </w:r>
    </w:p>
    <w:p w14:paraId="64B02F03">
      <w:pPr>
        <w:snapToGrid w:val="0"/>
        <w:spacing w:before="0" w:after="0" w:line="360" w:lineRule="auto"/>
        <w:ind w:left="0" w:right="0" w:firstLine="400" w:firstLineChars="20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全球大平台：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全球经营；全品类，全场景，用户至上；垂直整合，纵深产业链布局</w:t>
      </w:r>
    </w:p>
    <w:p w14:paraId="60CE62AB">
      <w:pPr>
        <w:snapToGrid w:val="0"/>
        <w:spacing w:before="0" w:after="0" w:line="360" w:lineRule="auto"/>
        <w:ind w:left="0" w:right="0" w:firstLine="400" w:firstLineChars="20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事业合伙人：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极致追求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效率领先、技术领先、产品领先和生态领先，敢于自我革新，以五轮变革推动企业不断向前；多层次的合伙人计划、股权激励、超额利润分享，共担共享</w:t>
      </w:r>
    </w:p>
    <w:p w14:paraId="15221D01">
      <w:pPr>
        <w:snapToGrid w:val="0"/>
        <w:spacing w:before="0" w:after="0" w:line="360" w:lineRule="auto"/>
        <w:ind w:left="0" w:right="0" w:firstLine="400" w:firstLineChars="20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人才加速器：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成长不设限；培养不停步；贡献有回报</w:t>
      </w:r>
    </w:p>
    <w:p w14:paraId="7B917CAC">
      <w:pPr>
        <w:snapToGrid w:val="0"/>
        <w:spacing w:before="0" w:after="0" w:line="360" w:lineRule="auto"/>
        <w:ind w:left="0" w:right="0" w:firstLine="400" w:firstLineChars="200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创新活力营：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探索新智，持续投入；善授权，能容错；开放多元，简单有趣</w:t>
      </w:r>
    </w:p>
    <w:p w14:paraId="0B97CE18">
      <w:pPr>
        <w:snapToGrid w:val="0"/>
        <w:spacing w:before="156" w:after="0" w:line="360" w:lineRule="auto"/>
        <w:ind w:left="0" w:right="0"/>
        <w:jc w:val="both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【TCL人才计划】</w:t>
      </w:r>
    </w:p>
    <w:p w14:paraId="045D149C">
      <w:pPr>
        <w:snapToGrid w:val="0"/>
        <w:spacing w:before="156" w:after="0" w:line="360" w:lineRule="auto"/>
        <w:ind w:left="0" w:right="0" w:firstLine="400" w:firstLineChars="200"/>
        <w:jc w:val="both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超A特训生计划：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TCL战略人才储备的重要渠道。为优秀人才量身定制培养方案，通过通用型培训和扎实的岗位深潜，掌握核心专业技能，投递超A特训生，无论培训还是实战，双导师带你挑战，成为具有商业意识、发展潜力、成功决心的未来领袖。</w:t>
      </w:r>
    </w:p>
    <w:p w14:paraId="1AD8F784">
      <w:pPr>
        <w:snapToGrid w:val="0"/>
        <w:spacing w:before="156" w:after="0" w:line="360" w:lineRule="auto"/>
        <w:ind w:left="0" w:right="0" w:firstLine="400" w:firstLineChars="200"/>
        <w:jc w:val="both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z w:val="20"/>
          <w:u w:val="none"/>
        </w:rPr>
        <w:t>雏鹰工程：</w:t>
      </w:r>
      <w:r>
        <w:rPr>
          <w:rFonts w:ascii="微软雅黑" w:hAnsi="微软雅黑" w:eastAsia="微软雅黑" w:cs="微软雅黑"/>
          <w:i w:val="0"/>
          <w:strike w:val="0"/>
          <w:color w:val="000000"/>
          <w:sz w:val="20"/>
          <w:u w:val="none"/>
        </w:rPr>
        <w:t>TCL鹰系人才培养体系的一部分，总共分为雄鹰计划、精鹰工程、飞鹰计划和雏鹰工程四个部分，而“雏鹰工程”就是以新入职大学生为主要对象的培养计划。</w:t>
      </w:r>
    </w:p>
    <w:p w14:paraId="310CE7DC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xNTdhMGM5YmMwNTMwMTUyODllZWZiMTA0MjkzOTYifQ=="/>
  </w:docVars>
  <w:rsids>
    <w:rsidRoot w:val="00000000"/>
    <w:rsid w:val="65BE1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1525</Words>
  <Characters>1739</Characters>
  <TotalTime>78</TotalTime>
  <ScaleCrop>false</ScaleCrop>
  <LinksUpToDate>false</LinksUpToDate>
  <CharactersWithSpaces>1754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2024-08-27T11:02:00Z</dcterms:created>
  <dc:creator>lzd</dc:creator>
  <cp:lastModifiedBy>Hz</cp:lastModifiedBy>
  <dcterms:modified xsi:type="dcterms:W3CDTF">2024-08-27T04:21:27Z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0F3A4B32EFFD47E4A84433F1E7ADBAC5_12</vt:lpwstr>
  </property>
</Properties>
</file>